
<file path=[Content_Types].xml><?xml version="1.0" encoding="utf-8"?>
<Types xmlns="http://schemas.openxmlformats.org/package/2006/content-types">
  <Default Extension="xml" ContentType="application/xml"/>
  <Default Extension="xlsx" ContentType="application/vnd.openxmlformats-officedocument.spreadsheetml.sheet"/>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518E6CA3" w14:textId="77777777" w:rsidR="00112482" w:rsidRDefault="00F867CA">
      <w:pPr>
        <w:jc w:val="center"/>
        <w:rPr>
          <w:b/>
          <w:sz w:val="28"/>
          <w:u w:val="single"/>
        </w:rPr>
      </w:pPr>
      <w:r>
        <w:rPr>
          <w:b/>
          <w:sz w:val="28"/>
          <w:u w:val="single"/>
        </w:rPr>
        <w:t>MUSE</w:t>
      </w:r>
      <w:r w:rsidR="00112482">
        <w:rPr>
          <w:b/>
          <w:sz w:val="28"/>
          <w:u w:val="single"/>
        </w:rPr>
        <w:t xml:space="preserve"> Basis of Estimate</w:t>
      </w:r>
    </w:p>
    <w:p w14:paraId="5FEA8E97" w14:textId="77777777" w:rsidR="00112482" w:rsidRDefault="00112482">
      <w:pPr>
        <w:jc w:val="center"/>
        <w:rPr>
          <w:b/>
          <w:sz w:val="28"/>
        </w:rPr>
      </w:pPr>
    </w:p>
    <w:p w14:paraId="446D2DD7" w14:textId="77777777" w:rsidR="00112482" w:rsidRDefault="00370202">
      <w:pPr>
        <w:jc w:val="center"/>
        <w:rPr>
          <w:b/>
          <w:sz w:val="28"/>
        </w:rPr>
      </w:pPr>
      <w:r>
        <w:rPr>
          <w:b/>
          <w:sz w:val="28"/>
        </w:rPr>
        <w:t>Scintillation Detector Construction</w:t>
      </w:r>
      <w:r w:rsidR="00F867CA">
        <w:rPr>
          <w:b/>
          <w:sz w:val="28"/>
        </w:rPr>
        <w:t xml:space="preserve"> WBS #</w:t>
      </w:r>
    </w:p>
    <w:p w14:paraId="2B847C08" w14:textId="77777777" w:rsidR="00112482" w:rsidRDefault="00112482">
      <w:pPr>
        <w:jc w:val="center"/>
        <w:rPr>
          <w:b/>
          <w:sz w:val="28"/>
        </w:rPr>
      </w:pPr>
    </w:p>
    <w:p w14:paraId="1496FA1A" w14:textId="77777777" w:rsidR="00112482" w:rsidRDefault="00112482">
      <w:pPr>
        <w:jc w:val="center"/>
        <w:rPr>
          <w:b/>
          <w:sz w:val="28"/>
          <w:u w:val="single"/>
        </w:rPr>
      </w:pPr>
      <w:r>
        <w:rPr>
          <w:u w:val="single"/>
        </w:rPr>
        <w:t>I.  General Information</w:t>
      </w:r>
    </w:p>
    <w:p w14:paraId="7F057DF3" w14:textId="77777777" w:rsidR="00112482" w:rsidRDefault="00112482">
      <w:pPr>
        <w:rPr>
          <w:sz w:val="28"/>
        </w:rPr>
      </w:pPr>
    </w:p>
    <w:p w14:paraId="10BDD090" w14:textId="77777777" w:rsidR="00112482" w:rsidRDefault="00112482" w:rsidP="002E5C4E">
      <w:r>
        <w:t xml:space="preserve">Task Name:  </w:t>
      </w:r>
      <w:r w:rsidR="00370202">
        <w:t>Construction of scintillation detectors</w:t>
      </w:r>
    </w:p>
    <w:p w14:paraId="5CF6CC66" w14:textId="77777777" w:rsidR="00112482" w:rsidRDefault="00112482"/>
    <w:p w14:paraId="030C45B7" w14:textId="77777777" w:rsidR="00112482" w:rsidRDefault="00112482">
      <w:r>
        <w:t>Unique ID Number</w:t>
      </w:r>
      <w:r w:rsidRPr="00583F78">
        <w:rPr>
          <w:color w:val="FF0000"/>
          <w:u w:val="single"/>
        </w:rPr>
        <w:t xml:space="preserve"> </w:t>
      </w:r>
    </w:p>
    <w:p w14:paraId="08DB3D19" w14:textId="77777777" w:rsidR="00112482" w:rsidRDefault="00112482"/>
    <w:p w14:paraId="5DC3A3BA" w14:textId="7EF8CE01" w:rsidR="00112482" w:rsidRDefault="00112482">
      <w:pPr>
        <w:rPr>
          <w:u w:val="single"/>
        </w:rPr>
      </w:pPr>
      <w:r>
        <w:t xml:space="preserve">Date of Estimate: </w:t>
      </w:r>
      <w:r w:rsidR="00F77B3F">
        <w:t>12/19</w:t>
      </w:r>
      <w:r w:rsidR="00213F73">
        <w:t>/2015</w:t>
      </w:r>
    </w:p>
    <w:p w14:paraId="356CF785" w14:textId="77777777" w:rsidR="00112482" w:rsidRDefault="00112482"/>
    <w:p w14:paraId="30607585" w14:textId="77777777" w:rsidR="00112482" w:rsidRPr="00575063" w:rsidRDefault="00C3327E">
      <w:pPr>
        <w:rPr>
          <w:color w:val="FF0000"/>
          <w:u w:val="single"/>
        </w:rPr>
      </w:pPr>
      <w:r>
        <w:t>Estimate Generator:</w:t>
      </w:r>
      <w:r w:rsidR="00A142AF">
        <w:t xml:space="preserve"> </w:t>
      </w:r>
      <w:r w:rsidR="00370202" w:rsidRPr="00370202">
        <w:t>Steffen Strauch</w:t>
      </w:r>
    </w:p>
    <w:p w14:paraId="7F893EBD" w14:textId="77777777" w:rsidR="00112482" w:rsidRDefault="00112482"/>
    <w:p w14:paraId="4F38C72E" w14:textId="77777777" w:rsidR="00112482" w:rsidRDefault="00112482">
      <w:r>
        <w:t xml:space="preserve">Cost Category: </w:t>
      </w:r>
    </w:p>
    <w:p w14:paraId="503E068D" w14:textId="77777777" w:rsidR="009214B7" w:rsidRDefault="00112482">
      <w:pPr>
        <w:rPr>
          <w:color w:val="FF0000"/>
        </w:rPr>
      </w:pPr>
      <w:r>
        <w:tab/>
      </w:r>
      <w:r w:rsidR="00F867CA">
        <w:t xml:space="preserve"> </w:t>
      </w:r>
      <w:r>
        <w:rPr>
          <w:rFonts w:ascii="Symbol" w:hAnsi="Symbol"/>
        </w:rPr>
        <w:t></w:t>
      </w:r>
      <w:r w:rsidR="00F867CA">
        <w:t xml:space="preserve"> M&amp;S</w:t>
      </w:r>
    </w:p>
    <w:p w14:paraId="768E3D11" w14:textId="77777777" w:rsidR="00112482" w:rsidRDefault="00112482">
      <w:r>
        <w:tab/>
      </w:r>
      <w:r w:rsidR="00AC079C">
        <w:rPr>
          <w:rFonts w:ascii="Times New Roman" w:hAnsi="Times New Roman"/>
        </w:rPr>
        <w:t xml:space="preserve"> </w:t>
      </w:r>
      <w:r w:rsidR="00370202" w:rsidRPr="00370202">
        <w:rPr>
          <w:rFonts w:asciiTheme="minorHAnsi" w:hAnsiTheme="minorHAnsi"/>
        </w:rPr>
        <w:t>X</w:t>
      </w:r>
      <w:r w:rsidR="00F867CA">
        <w:rPr>
          <w:rFonts w:ascii="Symbol" w:hAnsi="Symbol"/>
        </w:rPr>
        <w:t></w:t>
      </w:r>
      <w:r w:rsidRPr="00575063">
        <w:t>SWF</w:t>
      </w:r>
      <w:r w:rsidR="00F867CA" w:rsidRPr="00575063">
        <w:t xml:space="preserve"> </w:t>
      </w:r>
    </w:p>
    <w:p w14:paraId="49C999F4" w14:textId="77777777" w:rsidR="00112482" w:rsidRDefault="00112482"/>
    <w:p w14:paraId="56240B51" w14:textId="77777777" w:rsidR="00112482" w:rsidRDefault="00112482">
      <w:pPr>
        <w:rPr>
          <w:u w:val="single"/>
        </w:rPr>
      </w:pPr>
      <w:r>
        <w:t xml:space="preserve">Comments: </w:t>
      </w:r>
    </w:p>
    <w:p w14:paraId="3FD30EEC" w14:textId="77777777" w:rsidR="00AC079C" w:rsidRPr="00AC079C" w:rsidRDefault="00AC079C">
      <w:pPr>
        <w:rPr>
          <w:u w:val="single"/>
        </w:rPr>
      </w:pPr>
    </w:p>
    <w:p w14:paraId="1EF04E2D" w14:textId="77777777" w:rsidR="00112482" w:rsidRDefault="00112482">
      <w:r>
        <w:t xml:space="preserve">Vendor Quote Number if Applicable:  </w:t>
      </w:r>
      <w:r>
        <w:rPr>
          <w:u w:val="single"/>
        </w:rPr>
        <w:tab/>
      </w:r>
      <w:r>
        <w:rPr>
          <w:u w:val="single"/>
        </w:rPr>
        <w:tab/>
      </w:r>
      <w:r>
        <w:rPr>
          <w:u w:val="single"/>
        </w:rPr>
        <w:tab/>
      </w:r>
      <w:r>
        <w:rPr>
          <w:u w:val="single"/>
        </w:rPr>
        <w:tab/>
      </w:r>
    </w:p>
    <w:p w14:paraId="03F3D10B" w14:textId="77777777" w:rsidR="00112482" w:rsidRDefault="00112482"/>
    <w:p w14:paraId="3BA74B6B" w14:textId="77777777" w:rsidR="00112482" w:rsidRDefault="00112482">
      <w:r>
        <w:t xml:space="preserve">Drawing Reference Number or Attachment: </w:t>
      </w:r>
      <w:r>
        <w:rPr>
          <w:u w:val="single"/>
        </w:rPr>
        <w:tab/>
      </w:r>
      <w:r>
        <w:rPr>
          <w:u w:val="single"/>
        </w:rPr>
        <w:tab/>
      </w:r>
      <w:r>
        <w:rPr>
          <w:u w:val="single"/>
        </w:rPr>
        <w:tab/>
      </w:r>
      <w:r>
        <w:rPr>
          <w:u w:val="single"/>
        </w:rPr>
        <w:tab/>
      </w:r>
    </w:p>
    <w:p w14:paraId="1C051919" w14:textId="77777777" w:rsidR="00112482" w:rsidRDefault="00112482"/>
    <w:p w14:paraId="0AA083AA" w14:textId="2EE867DB" w:rsidR="00112482" w:rsidRDefault="00112482">
      <w:pPr>
        <w:rPr>
          <w:u w:val="single"/>
        </w:rPr>
      </w:pPr>
      <w:r>
        <w:t>Costing Method:</w:t>
      </w:r>
      <w:r>
        <w:rPr>
          <w:u w:val="single"/>
        </w:rPr>
        <w:tab/>
      </w:r>
      <w:r w:rsidR="00370202">
        <w:rPr>
          <w:u w:val="single"/>
        </w:rPr>
        <w:t>estimate</w:t>
      </w:r>
      <w:r w:rsidR="00F77B3F">
        <w:rPr>
          <w:u w:val="single"/>
        </w:rPr>
        <w:t xml:space="preserve"> based on </w:t>
      </w:r>
      <w:proofErr w:type="spellStart"/>
      <w:r w:rsidR="00F77B3F">
        <w:rPr>
          <w:u w:val="single"/>
        </w:rPr>
        <w:t>JLab</w:t>
      </w:r>
      <w:proofErr w:type="spellEnd"/>
      <w:r w:rsidR="00F77B3F">
        <w:rPr>
          <w:u w:val="single"/>
        </w:rPr>
        <w:t xml:space="preserve"> FTOF experience</w:t>
      </w:r>
      <w:r w:rsidR="00F01496">
        <w:rPr>
          <w:u w:val="single"/>
        </w:rPr>
        <w:t xml:space="preserve"> for construction time</w:t>
      </w:r>
      <w:r w:rsidR="00370202">
        <w:rPr>
          <w:u w:val="single"/>
        </w:rPr>
        <w:tab/>
      </w:r>
    </w:p>
    <w:p w14:paraId="4AE7D158" w14:textId="77777777" w:rsidR="00112482" w:rsidRDefault="00112482"/>
    <w:p w14:paraId="3A570CD6" w14:textId="77674820" w:rsidR="00112A94" w:rsidRDefault="00112482">
      <w:pPr>
        <w:rPr>
          <w:u w:val="single"/>
        </w:rPr>
      </w:pPr>
      <w:r>
        <w:t xml:space="preserve">Total Task Cost: </w:t>
      </w:r>
      <w:r w:rsidR="00CD001D">
        <w:rPr>
          <w:u w:val="single"/>
        </w:rPr>
        <w:t>$</w:t>
      </w:r>
      <w:r w:rsidR="00F77B3F">
        <w:rPr>
          <w:u w:val="single"/>
        </w:rPr>
        <w:t>237,684</w:t>
      </w:r>
    </w:p>
    <w:p w14:paraId="38944EDA" w14:textId="77777777" w:rsidR="00112A94" w:rsidRDefault="00112A94">
      <w:pPr>
        <w:rPr>
          <w:u w:val="single"/>
        </w:rPr>
      </w:pPr>
    </w:p>
    <w:p w14:paraId="2CA1C442" w14:textId="46CEE0F0" w:rsidR="00112482" w:rsidRPr="00BE3161" w:rsidRDefault="00112A94">
      <w:r>
        <w:rPr>
          <w:u w:val="single"/>
        </w:rPr>
        <w:t xml:space="preserve">Total </w:t>
      </w:r>
      <w:r w:rsidR="003A74BC">
        <w:rPr>
          <w:u w:val="single"/>
        </w:rPr>
        <w:t>Contingency:</w:t>
      </w:r>
      <w:r w:rsidR="003A74BC" w:rsidRPr="009F589D">
        <w:t xml:space="preserve"> </w:t>
      </w:r>
      <w:r w:rsidR="009F589D">
        <w:rPr>
          <w:u w:val="single"/>
        </w:rPr>
        <w:t xml:space="preserve"> $</w:t>
      </w:r>
      <w:r w:rsidR="00F77B3F">
        <w:rPr>
          <w:u w:val="single"/>
        </w:rPr>
        <w:t>33,276</w:t>
      </w:r>
    </w:p>
    <w:p w14:paraId="54F2E141" w14:textId="77777777" w:rsidR="00112482" w:rsidRDefault="00112482">
      <w:pPr>
        <w:rPr>
          <w:u w:val="single"/>
        </w:rPr>
      </w:pPr>
    </w:p>
    <w:p w14:paraId="04B86D2F" w14:textId="77777777" w:rsidR="00112482" w:rsidRDefault="00112482">
      <w:pPr>
        <w:rPr>
          <w:u w:val="double"/>
        </w:rPr>
      </w:pPr>
      <w:r>
        <w:rPr>
          <w:u w:val="double"/>
        </w:rPr>
        <w:tab/>
      </w:r>
      <w:r>
        <w:rPr>
          <w:u w:val="double"/>
        </w:rPr>
        <w:tab/>
      </w:r>
      <w:r>
        <w:rPr>
          <w:u w:val="double"/>
        </w:rPr>
        <w:tab/>
      </w:r>
      <w:r>
        <w:rPr>
          <w:u w:val="double"/>
        </w:rPr>
        <w:tab/>
      </w:r>
      <w:r>
        <w:rPr>
          <w:u w:val="double"/>
        </w:rPr>
        <w:tab/>
      </w:r>
      <w:r>
        <w:rPr>
          <w:u w:val="double"/>
        </w:rPr>
        <w:tab/>
      </w:r>
      <w:r>
        <w:rPr>
          <w:u w:val="double"/>
        </w:rPr>
        <w:tab/>
      </w:r>
      <w:r>
        <w:rPr>
          <w:u w:val="double"/>
        </w:rPr>
        <w:tab/>
      </w:r>
      <w:r>
        <w:rPr>
          <w:u w:val="double"/>
        </w:rPr>
        <w:tab/>
      </w:r>
      <w:r>
        <w:rPr>
          <w:u w:val="double"/>
        </w:rPr>
        <w:tab/>
      </w:r>
      <w:r>
        <w:rPr>
          <w:u w:val="double"/>
        </w:rPr>
        <w:tab/>
      </w:r>
      <w:r>
        <w:rPr>
          <w:u w:val="double"/>
        </w:rPr>
        <w:tab/>
      </w:r>
    </w:p>
    <w:p w14:paraId="32414D23" w14:textId="77777777" w:rsidR="00112482" w:rsidRDefault="00112482"/>
    <w:p w14:paraId="0E38FFE0" w14:textId="77777777" w:rsidR="00112482" w:rsidRDefault="00112482"/>
    <w:p w14:paraId="3BBCE4C7" w14:textId="77777777" w:rsidR="00112482" w:rsidRDefault="00112482">
      <w:pPr>
        <w:jc w:val="center"/>
        <w:rPr>
          <w:u w:val="single"/>
        </w:rPr>
      </w:pPr>
      <w:r>
        <w:rPr>
          <w:u w:val="single"/>
        </w:rPr>
        <w:t>II.  Cost Estimate Breakdown</w:t>
      </w:r>
    </w:p>
    <w:p w14:paraId="58A18D2B" w14:textId="77777777" w:rsidR="00CD001D" w:rsidRDefault="00CD001D" w:rsidP="00BD00E5">
      <w:pPr>
        <w:jc w:val="both"/>
        <w:rPr>
          <w:u w:val="single"/>
        </w:rPr>
      </w:pPr>
    </w:p>
    <w:p w14:paraId="48B19385" w14:textId="77777777" w:rsidR="00104C1B" w:rsidRDefault="00CD001D" w:rsidP="00BD00E5">
      <w:pPr>
        <w:jc w:val="both"/>
        <w:rPr>
          <w:u w:val="single"/>
        </w:rPr>
      </w:pPr>
      <w:r>
        <w:rPr>
          <w:u w:val="single"/>
        </w:rPr>
        <w:t>Cost of each element, along with justification</w:t>
      </w:r>
    </w:p>
    <w:p w14:paraId="5F753A8B" w14:textId="77777777" w:rsidR="00104C1B" w:rsidRDefault="00104C1B" w:rsidP="00BD00E5">
      <w:pPr>
        <w:jc w:val="both"/>
        <w:rPr>
          <w:u w:val="single"/>
        </w:rPr>
      </w:pPr>
    </w:p>
    <w:p w14:paraId="1CD6460C" w14:textId="56500952" w:rsidR="00FB5D2B" w:rsidRDefault="00FB5D2B" w:rsidP="00FB5D2B">
      <w:pPr>
        <w:jc w:val="both"/>
      </w:pPr>
      <w:r>
        <w:t xml:space="preserve">We request full support for one graduate student and half support for one postdoctoral scholar, with salaries of $24,000 and $22,000, respectively. The second half of the support for the postdoctoral scholar will be covered by the group’s regular NSF </w:t>
      </w:r>
      <w:proofErr w:type="gramStart"/>
      <w:r>
        <w:t>grant</w:t>
      </w:r>
      <w:proofErr w:type="gramEnd"/>
      <w:r>
        <w:t xml:space="preserve">. During the construction phase graduate students will be critical to train undergraduates to perform manufacturing tasks, supervise the manufacturing process, perform quality control at the completion of each task, and analyze the data taken to evaluate the performance of the detector elements. During the construction phase, the funding will partially support several graduate students to work a portion of their time on this project. </w:t>
      </w:r>
      <w:r>
        <w:lastRenderedPageBreak/>
        <w:t>The postdoctoral fellow will be critical in supervising the graduate students during construction, in adapting the existing FToF12 data analysis soft- ware and database for the PSI-specific scintillators and setup geometry, for writing the step-by-step construction manual for the setup, and for developing the MUSE scintillation-detector calibration software.</w:t>
      </w:r>
    </w:p>
    <w:p w14:paraId="16D33CBA" w14:textId="77777777" w:rsidR="00FB5D2B" w:rsidRDefault="00FB5D2B" w:rsidP="00FB5D2B">
      <w:pPr>
        <w:jc w:val="both"/>
      </w:pPr>
    </w:p>
    <w:p w14:paraId="634A0A9B" w14:textId="64F49A60" w:rsidR="00FB5D2B" w:rsidRDefault="00FB5D2B" w:rsidP="00FB5D2B">
      <w:pPr>
        <w:jc w:val="both"/>
      </w:pPr>
      <w:r>
        <w:t xml:space="preserve">Undergraduate Students Supervised USC undergraduate students will construct the MUSE scintillation detectors. The process includes the inspection and testing of the plastic scintillators, masking the ends of the scintillators with tape except for a circular window, gluing the PMTs to the ends of the bars, wrapping the bare counters with precision-cut aluminized Mylar and DuPont </w:t>
      </w:r>
      <w:proofErr w:type="spellStart"/>
      <w:r>
        <w:t>Tedlar</w:t>
      </w:r>
      <w:proofErr w:type="spellEnd"/>
      <w:r>
        <w:t xml:space="preserve"> foils, cosmic-ray testing of the counters, and securing the counters to its support structure. The work is done in batches of six scintillation bars at a time; 19 batches will be processed to complete the project; 11 batches in year one and 8 batches in year two. From our FToF12 experience we estimate that two students will work for 72-hours on one batch, on average. With a compensation of $12 per hour the total undergraduate manpower cost $32,832 in total over two years, not including the fringe benefits. We request $19,008 in year one and $13,824 in year two.</w:t>
      </w:r>
    </w:p>
    <w:p w14:paraId="1563A21B" w14:textId="77777777" w:rsidR="00FB5D2B" w:rsidRDefault="00FB5D2B" w:rsidP="00FB5D2B">
      <w:pPr>
        <w:jc w:val="both"/>
      </w:pPr>
    </w:p>
    <w:p w14:paraId="529DC9E8" w14:textId="69C01DE9" w:rsidR="00FB5D2B" w:rsidRDefault="00FB5D2B" w:rsidP="00FB5D2B">
      <w:pPr>
        <w:jc w:val="both"/>
      </w:pPr>
      <w:r>
        <w:t>The University of South Carolina fringe benefits are 24.70% for our post doc. For the 50% support of our post doc we include also half of $858.08 and $11.72 per month for health and dental insurances. The fringe benefits are 0.65% of graduate and undergraduate students salaries when enrolled and regularly attending classes; the fringe benefits are 8.31% when not enrolled during summer. For this budget we assume that the main part of the construction will be done during the summer months and assume 8.31% for fringe benefits.</w:t>
      </w:r>
    </w:p>
    <w:p w14:paraId="0A485EA5" w14:textId="77777777" w:rsidR="00FB5D2B" w:rsidRDefault="00FB5D2B" w:rsidP="00FB5D2B">
      <w:pPr>
        <w:jc w:val="both"/>
      </w:pPr>
    </w:p>
    <w:tbl>
      <w:tblPr>
        <w:tblStyle w:val="TableGrid"/>
        <w:tblW w:w="0" w:type="auto"/>
        <w:tblLayout w:type="fixed"/>
        <w:tblLook w:val="04A0" w:firstRow="1" w:lastRow="0" w:firstColumn="1" w:lastColumn="0" w:noHBand="0" w:noVBand="1"/>
      </w:tblPr>
      <w:tblGrid>
        <w:gridCol w:w="3078"/>
        <w:gridCol w:w="1530"/>
        <w:gridCol w:w="1080"/>
      </w:tblGrid>
      <w:tr w:rsidR="00FB5D2B" w:rsidRPr="00FB5D2B" w14:paraId="6E91432A" w14:textId="77777777" w:rsidTr="00FB5D2B">
        <w:trPr>
          <w:trHeight w:val="360"/>
        </w:trPr>
        <w:tc>
          <w:tcPr>
            <w:tcW w:w="3078" w:type="dxa"/>
            <w:noWrap/>
            <w:hideMark/>
          </w:tcPr>
          <w:p w14:paraId="4923A197" w14:textId="77777777" w:rsidR="00FB5D2B" w:rsidRPr="00FB5D2B" w:rsidRDefault="00FB5D2B" w:rsidP="00FB5D2B">
            <w:pPr>
              <w:jc w:val="both"/>
            </w:pPr>
            <w:r w:rsidRPr="00FB5D2B">
              <w:t>No of batches</w:t>
            </w:r>
          </w:p>
        </w:tc>
        <w:tc>
          <w:tcPr>
            <w:tcW w:w="1530" w:type="dxa"/>
            <w:noWrap/>
            <w:hideMark/>
          </w:tcPr>
          <w:p w14:paraId="76FB0CAC" w14:textId="77777777" w:rsidR="00FB5D2B" w:rsidRPr="00FB5D2B" w:rsidRDefault="00FB5D2B" w:rsidP="00FB5D2B">
            <w:pPr>
              <w:jc w:val="right"/>
            </w:pPr>
            <w:r w:rsidRPr="00FB5D2B">
              <w:t>19</w:t>
            </w:r>
          </w:p>
        </w:tc>
        <w:tc>
          <w:tcPr>
            <w:tcW w:w="1080" w:type="dxa"/>
            <w:noWrap/>
            <w:hideMark/>
          </w:tcPr>
          <w:p w14:paraId="18221521" w14:textId="5782803B" w:rsidR="00FB5D2B" w:rsidRPr="00FB5D2B" w:rsidRDefault="00FB5D2B" w:rsidP="00FB5D2B">
            <w:pPr>
              <w:jc w:val="both"/>
            </w:pPr>
          </w:p>
        </w:tc>
      </w:tr>
      <w:tr w:rsidR="00FB5D2B" w:rsidRPr="00FB5D2B" w14:paraId="43908665" w14:textId="77777777" w:rsidTr="00FB5D2B">
        <w:trPr>
          <w:trHeight w:val="360"/>
        </w:trPr>
        <w:tc>
          <w:tcPr>
            <w:tcW w:w="3078" w:type="dxa"/>
            <w:noWrap/>
            <w:hideMark/>
          </w:tcPr>
          <w:p w14:paraId="55CA9A97" w14:textId="77777777" w:rsidR="00FB5D2B" w:rsidRPr="00FB5D2B" w:rsidRDefault="00FB5D2B" w:rsidP="00FB5D2B">
            <w:pPr>
              <w:jc w:val="both"/>
            </w:pPr>
            <w:r w:rsidRPr="00FB5D2B">
              <w:t>Time/batch</w:t>
            </w:r>
          </w:p>
        </w:tc>
        <w:tc>
          <w:tcPr>
            <w:tcW w:w="1530" w:type="dxa"/>
            <w:noWrap/>
            <w:hideMark/>
          </w:tcPr>
          <w:p w14:paraId="58998844" w14:textId="77777777" w:rsidR="00FB5D2B" w:rsidRPr="00FB5D2B" w:rsidRDefault="00FB5D2B" w:rsidP="00FB5D2B">
            <w:pPr>
              <w:jc w:val="right"/>
            </w:pPr>
            <w:r w:rsidRPr="00FB5D2B">
              <w:t>9</w:t>
            </w:r>
          </w:p>
        </w:tc>
        <w:tc>
          <w:tcPr>
            <w:tcW w:w="1080" w:type="dxa"/>
            <w:noWrap/>
            <w:hideMark/>
          </w:tcPr>
          <w:p w14:paraId="150D8ABF" w14:textId="77777777" w:rsidR="00FB5D2B" w:rsidRPr="00FB5D2B" w:rsidRDefault="00FB5D2B" w:rsidP="00FB5D2B">
            <w:pPr>
              <w:jc w:val="both"/>
            </w:pPr>
            <w:proofErr w:type="gramStart"/>
            <w:r w:rsidRPr="00FB5D2B">
              <w:t>days</w:t>
            </w:r>
            <w:proofErr w:type="gramEnd"/>
          </w:p>
        </w:tc>
      </w:tr>
      <w:tr w:rsidR="00FB5D2B" w:rsidRPr="00FB5D2B" w14:paraId="396D7E78" w14:textId="77777777" w:rsidTr="00FB5D2B">
        <w:trPr>
          <w:trHeight w:val="360"/>
        </w:trPr>
        <w:tc>
          <w:tcPr>
            <w:tcW w:w="3078" w:type="dxa"/>
            <w:noWrap/>
            <w:hideMark/>
          </w:tcPr>
          <w:p w14:paraId="1A80B5B3" w14:textId="77777777" w:rsidR="00FB5D2B" w:rsidRPr="00FB5D2B" w:rsidRDefault="00FB5D2B" w:rsidP="00FB5D2B">
            <w:pPr>
              <w:jc w:val="both"/>
            </w:pPr>
            <w:r w:rsidRPr="00FB5D2B">
              <w:t>Workers (UG students)</w:t>
            </w:r>
          </w:p>
        </w:tc>
        <w:tc>
          <w:tcPr>
            <w:tcW w:w="1530" w:type="dxa"/>
            <w:noWrap/>
            <w:hideMark/>
          </w:tcPr>
          <w:p w14:paraId="56C741CF" w14:textId="77777777" w:rsidR="00FB5D2B" w:rsidRPr="00FB5D2B" w:rsidRDefault="00FB5D2B" w:rsidP="00FB5D2B">
            <w:pPr>
              <w:jc w:val="right"/>
            </w:pPr>
            <w:r w:rsidRPr="00FB5D2B">
              <w:t>2</w:t>
            </w:r>
          </w:p>
        </w:tc>
        <w:tc>
          <w:tcPr>
            <w:tcW w:w="1080" w:type="dxa"/>
            <w:noWrap/>
            <w:hideMark/>
          </w:tcPr>
          <w:p w14:paraId="35347B5D" w14:textId="447E316C" w:rsidR="00FB5D2B" w:rsidRPr="00FB5D2B" w:rsidRDefault="00FB5D2B" w:rsidP="00FB5D2B">
            <w:pPr>
              <w:jc w:val="both"/>
            </w:pPr>
          </w:p>
        </w:tc>
      </w:tr>
      <w:tr w:rsidR="00FB5D2B" w:rsidRPr="00FB5D2B" w14:paraId="773DC840" w14:textId="77777777" w:rsidTr="00FB5D2B">
        <w:trPr>
          <w:trHeight w:val="360"/>
        </w:trPr>
        <w:tc>
          <w:tcPr>
            <w:tcW w:w="3078" w:type="dxa"/>
            <w:noWrap/>
            <w:hideMark/>
          </w:tcPr>
          <w:p w14:paraId="389999B6" w14:textId="77777777" w:rsidR="00FB5D2B" w:rsidRPr="00FB5D2B" w:rsidRDefault="00FB5D2B" w:rsidP="00FB5D2B">
            <w:pPr>
              <w:jc w:val="both"/>
            </w:pPr>
          </w:p>
        </w:tc>
        <w:tc>
          <w:tcPr>
            <w:tcW w:w="1530" w:type="dxa"/>
            <w:noWrap/>
            <w:hideMark/>
          </w:tcPr>
          <w:p w14:paraId="77AAA5F8" w14:textId="77777777" w:rsidR="00FB5D2B" w:rsidRPr="00FB5D2B" w:rsidRDefault="00FB5D2B" w:rsidP="00FB5D2B">
            <w:pPr>
              <w:jc w:val="right"/>
            </w:pPr>
            <w:r w:rsidRPr="00FB5D2B">
              <w:t>8</w:t>
            </w:r>
          </w:p>
        </w:tc>
        <w:tc>
          <w:tcPr>
            <w:tcW w:w="1080" w:type="dxa"/>
            <w:noWrap/>
            <w:hideMark/>
          </w:tcPr>
          <w:p w14:paraId="68AE068A" w14:textId="77777777" w:rsidR="00FB5D2B" w:rsidRPr="00FB5D2B" w:rsidRDefault="00FB5D2B" w:rsidP="00FB5D2B">
            <w:pPr>
              <w:jc w:val="both"/>
            </w:pPr>
            <w:proofErr w:type="gramStart"/>
            <w:r w:rsidRPr="00FB5D2B">
              <w:t>h</w:t>
            </w:r>
            <w:proofErr w:type="gramEnd"/>
            <w:r w:rsidRPr="00FB5D2B">
              <w:t>/day</w:t>
            </w:r>
          </w:p>
        </w:tc>
      </w:tr>
      <w:tr w:rsidR="00FB5D2B" w:rsidRPr="00FB5D2B" w14:paraId="0F6727CD" w14:textId="77777777" w:rsidTr="00FB5D2B">
        <w:trPr>
          <w:trHeight w:val="360"/>
        </w:trPr>
        <w:tc>
          <w:tcPr>
            <w:tcW w:w="3078" w:type="dxa"/>
            <w:noWrap/>
            <w:hideMark/>
          </w:tcPr>
          <w:p w14:paraId="18384393" w14:textId="77777777" w:rsidR="00FB5D2B" w:rsidRPr="00FB5D2B" w:rsidRDefault="00FB5D2B" w:rsidP="00FB5D2B">
            <w:pPr>
              <w:jc w:val="both"/>
            </w:pPr>
            <w:proofErr w:type="gramStart"/>
            <w:r w:rsidRPr="00FB5D2B">
              <w:t>hourly</w:t>
            </w:r>
            <w:proofErr w:type="gramEnd"/>
            <w:r w:rsidRPr="00FB5D2B">
              <w:t xml:space="preserve"> compensation</w:t>
            </w:r>
          </w:p>
        </w:tc>
        <w:tc>
          <w:tcPr>
            <w:tcW w:w="1530" w:type="dxa"/>
            <w:noWrap/>
            <w:hideMark/>
          </w:tcPr>
          <w:p w14:paraId="41852FDA" w14:textId="77777777" w:rsidR="00FB5D2B" w:rsidRPr="00FB5D2B" w:rsidRDefault="00FB5D2B" w:rsidP="00FB5D2B">
            <w:pPr>
              <w:jc w:val="right"/>
            </w:pPr>
            <w:r w:rsidRPr="00FB5D2B">
              <w:t>$12</w:t>
            </w:r>
          </w:p>
        </w:tc>
        <w:tc>
          <w:tcPr>
            <w:tcW w:w="1080" w:type="dxa"/>
            <w:noWrap/>
            <w:hideMark/>
          </w:tcPr>
          <w:p w14:paraId="2D8982AE" w14:textId="77777777" w:rsidR="00FB5D2B" w:rsidRPr="00FB5D2B" w:rsidRDefault="00FB5D2B" w:rsidP="00FB5D2B">
            <w:pPr>
              <w:jc w:val="both"/>
            </w:pPr>
            <w:r w:rsidRPr="00FB5D2B">
              <w:t>1/h</w:t>
            </w:r>
          </w:p>
        </w:tc>
      </w:tr>
      <w:tr w:rsidR="00FB5D2B" w:rsidRPr="00FB5D2B" w14:paraId="16A9D501" w14:textId="77777777" w:rsidTr="00FB5D2B">
        <w:trPr>
          <w:trHeight w:val="360"/>
        </w:trPr>
        <w:tc>
          <w:tcPr>
            <w:tcW w:w="3078" w:type="dxa"/>
            <w:noWrap/>
            <w:hideMark/>
          </w:tcPr>
          <w:p w14:paraId="036EAE1B" w14:textId="77777777" w:rsidR="00FB5D2B" w:rsidRPr="00FB5D2B" w:rsidRDefault="00FB5D2B" w:rsidP="00FB5D2B">
            <w:pPr>
              <w:jc w:val="both"/>
            </w:pPr>
            <w:r w:rsidRPr="00FB5D2B">
              <w:t>Total hours worked</w:t>
            </w:r>
          </w:p>
        </w:tc>
        <w:tc>
          <w:tcPr>
            <w:tcW w:w="1530" w:type="dxa"/>
            <w:noWrap/>
            <w:hideMark/>
          </w:tcPr>
          <w:p w14:paraId="4819F1FD" w14:textId="77777777" w:rsidR="00FB5D2B" w:rsidRPr="00FB5D2B" w:rsidRDefault="00FB5D2B" w:rsidP="00FB5D2B">
            <w:pPr>
              <w:jc w:val="right"/>
            </w:pPr>
            <w:r w:rsidRPr="00FB5D2B">
              <w:t>2736</w:t>
            </w:r>
          </w:p>
        </w:tc>
        <w:tc>
          <w:tcPr>
            <w:tcW w:w="1080" w:type="dxa"/>
            <w:noWrap/>
            <w:hideMark/>
          </w:tcPr>
          <w:p w14:paraId="266548E2" w14:textId="5046E5D1" w:rsidR="00FB5D2B" w:rsidRPr="00FB5D2B" w:rsidRDefault="00F77B3F" w:rsidP="00FB5D2B">
            <w:pPr>
              <w:jc w:val="both"/>
            </w:pPr>
            <w:proofErr w:type="gramStart"/>
            <w:r>
              <w:t>h</w:t>
            </w:r>
            <w:proofErr w:type="gramEnd"/>
          </w:p>
        </w:tc>
      </w:tr>
      <w:tr w:rsidR="00FB5D2B" w:rsidRPr="00FB5D2B" w14:paraId="410345BA" w14:textId="77777777" w:rsidTr="00FB5D2B">
        <w:trPr>
          <w:trHeight w:val="360"/>
        </w:trPr>
        <w:tc>
          <w:tcPr>
            <w:tcW w:w="3078" w:type="dxa"/>
            <w:noWrap/>
            <w:hideMark/>
          </w:tcPr>
          <w:p w14:paraId="0C5D451C" w14:textId="77777777" w:rsidR="00FB5D2B" w:rsidRPr="00FB5D2B" w:rsidRDefault="00FB5D2B" w:rsidP="00FB5D2B">
            <w:pPr>
              <w:jc w:val="both"/>
            </w:pPr>
            <w:r w:rsidRPr="00FB5D2B">
              <w:t>UG compensation</w:t>
            </w:r>
          </w:p>
        </w:tc>
        <w:tc>
          <w:tcPr>
            <w:tcW w:w="1530" w:type="dxa"/>
            <w:noWrap/>
            <w:hideMark/>
          </w:tcPr>
          <w:p w14:paraId="7130EA0F" w14:textId="77777777" w:rsidR="00FB5D2B" w:rsidRPr="00FB5D2B" w:rsidRDefault="00FB5D2B" w:rsidP="00FB5D2B">
            <w:pPr>
              <w:jc w:val="right"/>
            </w:pPr>
            <w:r w:rsidRPr="00FB5D2B">
              <w:t>$32,832</w:t>
            </w:r>
          </w:p>
        </w:tc>
        <w:tc>
          <w:tcPr>
            <w:tcW w:w="1080" w:type="dxa"/>
            <w:noWrap/>
            <w:hideMark/>
          </w:tcPr>
          <w:p w14:paraId="7C9025B3" w14:textId="77777777" w:rsidR="00FB5D2B" w:rsidRPr="00FB5D2B" w:rsidRDefault="00FB5D2B" w:rsidP="00FB5D2B">
            <w:pPr>
              <w:jc w:val="both"/>
            </w:pPr>
          </w:p>
        </w:tc>
      </w:tr>
      <w:tr w:rsidR="00FB5D2B" w:rsidRPr="00FB5D2B" w14:paraId="392FE386" w14:textId="77777777" w:rsidTr="00FB5D2B">
        <w:trPr>
          <w:trHeight w:val="360"/>
        </w:trPr>
        <w:tc>
          <w:tcPr>
            <w:tcW w:w="3078" w:type="dxa"/>
            <w:noWrap/>
            <w:hideMark/>
          </w:tcPr>
          <w:p w14:paraId="3596DA98" w14:textId="77777777" w:rsidR="00FB5D2B" w:rsidRPr="00FB5D2B" w:rsidRDefault="00FB5D2B" w:rsidP="00FB5D2B">
            <w:pPr>
              <w:jc w:val="both"/>
            </w:pPr>
            <w:r w:rsidRPr="00FB5D2B">
              <w:t>GS compensation</w:t>
            </w:r>
          </w:p>
        </w:tc>
        <w:tc>
          <w:tcPr>
            <w:tcW w:w="1530" w:type="dxa"/>
            <w:noWrap/>
            <w:hideMark/>
          </w:tcPr>
          <w:p w14:paraId="774CD3E1" w14:textId="77777777" w:rsidR="00FB5D2B" w:rsidRPr="00FB5D2B" w:rsidRDefault="00FB5D2B" w:rsidP="00FB5D2B">
            <w:pPr>
              <w:jc w:val="right"/>
            </w:pPr>
            <w:r w:rsidRPr="00FB5D2B">
              <w:t>$48,000</w:t>
            </w:r>
          </w:p>
        </w:tc>
        <w:tc>
          <w:tcPr>
            <w:tcW w:w="1080" w:type="dxa"/>
            <w:noWrap/>
            <w:hideMark/>
          </w:tcPr>
          <w:p w14:paraId="596956B2" w14:textId="77777777" w:rsidR="00FB5D2B" w:rsidRPr="00FB5D2B" w:rsidRDefault="00FB5D2B" w:rsidP="00FB5D2B">
            <w:pPr>
              <w:jc w:val="both"/>
            </w:pPr>
          </w:p>
        </w:tc>
      </w:tr>
      <w:tr w:rsidR="00FB5D2B" w:rsidRPr="00FB5D2B" w14:paraId="2922CDBA" w14:textId="77777777" w:rsidTr="00FB5D2B">
        <w:trPr>
          <w:trHeight w:val="360"/>
        </w:trPr>
        <w:tc>
          <w:tcPr>
            <w:tcW w:w="3078" w:type="dxa"/>
            <w:noWrap/>
            <w:hideMark/>
          </w:tcPr>
          <w:p w14:paraId="7D3864FE" w14:textId="77777777" w:rsidR="00FB5D2B" w:rsidRPr="00FB5D2B" w:rsidRDefault="00FB5D2B" w:rsidP="00FB5D2B">
            <w:pPr>
              <w:jc w:val="both"/>
            </w:pPr>
            <w:r w:rsidRPr="00FB5D2B">
              <w:t>PD compensation</w:t>
            </w:r>
          </w:p>
        </w:tc>
        <w:tc>
          <w:tcPr>
            <w:tcW w:w="1530" w:type="dxa"/>
            <w:noWrap/>
            <w:hideMark/>
          </w:tcPr>
          <w:p w14:paraId="778751E4" w14:textId="77777777" w:rsidR="00FB5D2B" w:rsidRPr="00FB5D2B" w:rsidRDefault="00FB5D2B" w:rsidP="00FB5D2B">
            <w:pPr>
              <w:jc w:val="right"/>
            </w:pPr>
            <w:r w:rsidRPr="00FB5D2B">
              <w:t>$44,000</w:t>
            </w:r>
          </w:p>
        </w:tc>
        <w:tc>
          <w:tcPr>
            <w:tcW w:w="1080" w:type="dxa"/>
            <w:noWrap/>
            <w:hideMark/>
          </w:tcPr>
          <w:p w14:paraId="1D5D8E24" w14:textId="77777777" w:rsidR="00FB5D2B" w:rsidRPr="00FB5D2B" w:rsidRDefault="00FB5D2B" w:rsidP="00FB5D2B">
            <w:pPr>
              <w:jc w:val="both"/>
            </w:pPr>
          </w:p>
        </w:tc>
      </w:tr>
      <w:tr w:rsidR="00FB5D2B" w:rsidRPr="00FB5D2B" w14:paraId="57FDEC21" w14:textId="77777777" w:rsidTr="00FB5D2B">
        <w:trPr>
          <w:trHeight w:val="360"/>
        </w:trPr>
        <w:tc>
          <w:tcPr>
            <w:tcW w:w="3078" w:type="dxa"/>
            <w:noWrap/>
            <w:hideMark/>
          </w:tcPr>
          <w:p w14:paraId="373B1976" w14:textId="77777777" w:rsidR="00FB5D2B" w:rsidRPr="00FB5D2B" w:rsidRDefault="00FB5D2B" w:rsidP="00FB5D2B">
            <w:pPr>
              <w:jc w:val="both"/>
            </w:pPr>
            <w:r w:rsidRPr="00FB5D2B">
              <w:t>Fringe total</w:t>
            </w:r>
          </w:p>
        </w:tc>
        <w:tc>
          <w:tcPr>
            <w:tcW w:w="1530" w:type="dxa"/>
            <w:noWrap/>
            <w:hideMark/>
          </w:tcPr>
          <w:p w14:paraId="714C82E1" w14:textId="77777777" w:rsidR="00FB5D2B" w:rsidRPr="00FB5D2B" w:rsidRDefault="00FB5D2B" w:rsidP="00FB5D2B">
            <w:pPr>
              <w:jc w:val="right"/>
            </w:pPr>
            <w:r w:rsidRPr="00FB5D2B">
              <w:t>$28,023</w:t>
            </w:r>
          </w:p>
        </w:tc>
        <w:tc>
          <w:tcPr>
            <w:tcW w:w="1080" w:type="dxa"/>
            <w:noWrap/>
            <w:hideMark/>
          </w:tcPr>
          <w:p w14:paraId="1F45E8BA" w14:textId="77777777" w:rsidR="00FB5D2B" w:rsidRPr="00FB5D2B" w:rsidRDefault="00FB5D2B" w:rsidP="00FB5D2B">
            <w:pPr>
              <w:jc w:val="both"/>
            </w:pPr>
          </w:p>
        </w:tc>
      </w:tr>
      <w:tr w:rsidR="00FB5D2B" w:rsidRPr="00FB5D2B" w14:paraId="0875C7A1" w14:textId="77777777" w:rsidTr="00FB5D2B">
        <w:trPr>
          <w:trHeight w:val="360"/>
        </w:trPr>
        <w:tc>
          <w:tcPr>
            <w:tcW w:w="3078" w:type="dxa"/>
            <w:noWrap/>
            <w:hideMark/>
          </w:tcPr>
          <w:p w14:paraId="43588F8C" w14:textId="4AEB55DF" w:rsidR="00FB5D2B" w:rsidRPr="00FB5D2B" w:rsidRDefault="00FB5D2B" w:rsidP="00FB5D2B">
            <w:pPr>
              <w:jc w:val="both"/>
            </w:pPr>
            <w:r w:rsidRPr="00FB5D2B">
              <w:t>Indirect cost</w:t>
            </w:r>
            <w:r w:rsidR="00F77B3F">
              <w:t xml:space="preserve"> (46.5%)</w:t>
            </w:r>
          </w:p>
        </w:tc>
        <w:tc>
          <w:tcPr>
            <w:tcW w:w="1530" w:type="dxa"/>
            <w:noWrap/>
            <w:hideMark/>
          </w:tcPr>
          <w:p w14:paraId="3787B45E" w14:textId="77777777" w:rsidR="00FB5D2B" w:rsidRPr="00FB5D2B" w:rsidRDefault="00FB5D2B" w:rsidP="00FB5D2B">
            <w:pPr>
              <w:jc w:val="right"/>
            </w:pPr>
            <w:r w:rsidRPr="00FB5D2B">
              <w:t>$71,078</w:t>
            </w:r>
          </w:p>
        </w:tc>
        <w:tc>
          <w:tcPr>
            <w:tcW w:w="1080" w:type="dxa"/>
            <w:noWrap/>
            <w:hideMark/>
          </w:tcPr>
          <w:p w14:paraId="6C1F5110" w14:textId="77777777" w:rsidR="00FB5D2B" w:rsidRPr="00FB5D2B" w:rsidRDefault="00FB5D2B" w:rsidP="00FB5D2B">
            <w:pPr>
              <w:jc w:val="both"/>
            </w:pPr>
          </w:p>
        </w:tc>
      </w:tr>
      <w:tr w:rsidR="00FB5D2B" w:rsidRPr="00FB5D2B" w14:paraId="46B8A114" w14:textId="77777777" w:rsidTr="00FB5D2B">
        <w:trPr>
          <w:trHeight w:val="360"/>
        </w:trPr>
        <w:tc>
          <w:tcPr>
            <w:tcW w:w="3078" w:type="dxa"/>
            <w:noWrap/>
            <w:hideMark/>
          </w:tcPr>
          <w:p w14:paraId="297825DC" w14:textId="77777777" w:rsidR="00FB5D2B" w:rsidRPr="00FB5D2B" w:rsidRDefault="00FB5D2B" w:rsidP="00FB5D2B">
            <w:pPr>
              <w:jc w:val="both"/>
            </w:pPr>
            <w:r w:rsidRPr="00FB5D2B">
              <w:t>GS Tuition</w:t>
            </w:r>
          </w:p>
        </w:tc>
        <w:tc>
          <w:tcPr>
            <w:tcW w:w="1530" w:type="dxa"/>
            <w:noWrap/>
            <w:hideMark/>
          </w:tcPr>
          <w:p w14:paraId="01512F82" w14:textId="77777777" w:rsidR="00FB5D2B" w:rsidRPr="00FB5D2B" w:rsidRDefault="00FB5D2B" w:rsidP="00FB5D2B">
            <w:pPr>
              <w:jc w:val="right"/>
            </w:pPr>
            <w:r w:rsidRPr="00FB5D2B">
              <w:t>$13,751</w:t>
            </w:r>
          </w:p>
        </w:tc>
        <w:tc>
          <w:tcPr>
            <w:tcW w:w="1080" w:type="dxa"/>
            <w:noWrap/>
            <w:hideMark/>
          </w:tcPr>
          <w:p w14:paraId="229845C0" w14:textId="77777777" w:rsidR="00FB5D2B" w:rsidRPr="00FB5D2B" w:rsidRDefault="00FB5D2B" w:rsidP="00FB5D2B">
            <w:pPr>
              <w:jc w:val="both"/>
            </w:pPr>
          </w:p>
        </w:tc>
      </w:tr>
      <w:tr w:rsidR="00FB5D2B" w:rsidRPr="00FB5D2B" w14:paraId="47E061AA" w14:textId="77777777" w:rsidTr="00FB5D2B">
        <w:trPr>
          <w:trHeight w:val="360"/>
        </w:trPr>
        <w:tc>
          <w:tcPr>
            <w:tcW w:w="3078" w:type="dxa"/>
            <w:noWrap/>
            <w:hideMark/>
          </w:tcPr>
          <w:p w14:paraId="340868CD" w14:textId="77777777" w:rsidR="00FB5D2B" w:rsidRPr="00FB5D2B" w:rsidRDefault="00FB5D2B" w:rsidP="00FB5D2B">
            <w:pPr>
              <w:jc w:val="both"/>
              <w:rPr>
                <w:b/>
                <w:bCs/>
              </w:rPr>
            </w:pPr>
            <w:r w:rsidRPr="00FB5D2B">
              <w:rPr>
                <w:b/>
                <w:bCs/>
              </w:rPr>
              <w:t>Total</w:t>
            </w:r>
          </w:p>
        </w:tc>
        <w:tc>
          <w:tcPr>
            <w:tcW w:w="1530" w:type="dxa"/>
            <w:noWrap/>
            <w:hideMark/>
          </w:tcPr>
          <w:p w14:paraId="41A94B40" w14:textId="77777777" w:rsidR="00FB5D2B" w:rsidRPr="00FB5D2B" w:rsidRDefault="00FB5D2B" w:rsidP="00FB5D2B">
            <w:pPr>
              <w:jc w:val="right"/>
              <w:rPr>
                <w:b/>
                <w:bCs/>
              </w:rPr>
            </w:pPr>
            <w:r w:rsidRPr="00FB5D2B">
              <w:rPr>
                <w:b/>
                <w:bCs/>
              </w:rPr>
              <w:t>$237,684</w:t>
            </w:r>
          </w:p>
        </w:tc>
        <w:tc>
          <w:tcPr>
            <w:tcW w:w="1080" w:type="dxa"/>
            <w:noWrap/>
            <w:hideMark/>
          </w:tcPr>
          <w:p w14:paraId="16B8BABB" w14:textId="77777777" w:rsidR="00FB5D2B" w:rsidRPr="00FB5D2B" w:rsidRDefault="00FB5D2B" w:rsidP="00FB5D2B">
            <w:pPr>
              <w:jc w:val="both"/>
            </w:pPr>
          </w:p>
        </w:tc>
      </w:tr>
    </w:tbl>
    <w:p w14:paraId="104F9DB3" w14:textId="40CD7BF8" w:rsidR="00A142AF" w:rsidRDefault="00A142AF">
      <w:pPr>
        <w:rPr>
          <w:u w:val="single"/>
        </w:rPr>
      </w:pPr>
    </w:p>
    <w:p w14:paraId="596188D5" w14:textId="77777777" w:rsidR="00112482" w:rsidRDefault="00112482">
      <w:pPr>
        <w:jc w:val="center"/>
        <w:rPr>
          <w:u w:val="single"/>
        </w:rPr>
      </w:pPr>
    </w:p>
    <w:p w14:paraId="0DCB450C" w14:textId="77777777" w:rsidR="00861CAD" w:rsidRDefault="00A8781E">
      <w:pPr>
        <w:jc w:val="center"/>
        <w:rPr>
          <w:u w:val="single"/>
        </w:rPr>
      </w:pPr>
      <w:r>
        <w:rPr>
          <w:u w:val="single"/>
        </w:rPr>
        <w:lastRenderedPageBreak/>
        <w:t xml:space="preserve">III.  Contingency </w:t>
      </w:r>
      <w:r w:rsidR="00095B37">
        <w:rPr>
          <w:u w:val="single"/>
        </w:rPr>
        <w:t xml:space="preserve">and risk analysis </w:t>
      </w:r>
    </w:p>
    <w:p w14:paraId="546C7E2C" w14:textId="77777777" w:rsidR="003A74BC" w:rsidRDefault="003A74BC" w:rsidP="004326E8">
      <w:pPr>
        <w:rPr>
          <w:u w:val="single"/>
        </w:rPr>
      </w:pPr>
      <w:bookmarkStart w:id="0" w:name="_GoBack"/>
      <w:bookmarkEnd w:id="0"/>
    </w:p>
    <w:p w14:paraId="5D636D69" w14:textId="77777777" w:rsidR="004326E8" w:rsidRDefault="004326E8" w:rsidP="004326E8">
      <w:pPr>
        <w:rPr>
          <w:u w:val="single"/>
        </w:rPr>
      </w:pPr>
    </w:p>
    <w:tbl>
      <w:tblPr>
        <w:tblStyle w:val="TableGrid"/>
        <w:tblW w:w="0" w:type="auto"/>
        <w:tblLook w:val="04A0" w:firstRow="1" w:lastRow="0" w:firstColumn="1" w:lastColumn="0" w:noHBand="0" w:noVBand="1"/>
      </w:tblPr>
      <w:tblGrid>
        <w:gridCol w:w="1476"/>
        <w:gridCol w:w="1476"/>
        <w:gridCol w:w="1476"/>
        <w:gridCol w:w="1476"/>
        <w:gridCol w:w="1476"/>
        <w:gridCol w:w="1476"/>
      </w:tblGrid>
      <w:tr w:rsidR="00CB3572" w14:paraId="1D0FBB26" w14:textId="77777777" w:rsidTr="004A0EA7">
        <w:tc>
          <w:tcPr>
            <w:tcW w:w="1476" w:type="dxa"/>
          </w:tcPr>
          <w:p w14:paraId="7F2C8527" w14:textId="77777777" w:rsidR="00CB3572" w:rsidRDefault="00CB3572" w:rsidP="004A0EA7">
            <w:r>
              <w:t>Item</w:t>
            </w:r>
          </w:p>
        </w:tc>
        <w:tc>
          <w:tcPr>
            <w:tcW w:w="1476" w:type="dxa"/>
          </w:tcPr>
          <w:p w14:paraId="69FD14B0" w14:textId="77777777" w:rsidR="00CB3572" w:rsidRDefault="00CB3572" w:rsidP="004A0EA7">
            <w:r>
              <w:t>Technical</w:t>
            </w:r>
          </w:p>
        </w:tc>
        <w:tc>
          <w:tcPr>
            <w:tcW w:w="1476" w:type="dxa"/>
          </w:tcPr>
          <w:p w14:paraId="2D0F96F4" w14:textId="77777777" w:rsidR="00CB3572" w:rsidRDefault="00CB3572" w:rsidP="004A0EA7">
            <w:r>
              <w:t>Design</w:t>
            </w:r>
          </w:p>
        </w:tc>
        <w:tc>
          <w:tcPr>
            <w:tcW w:w="1476" w:type="dxa"/>
          </w:tcPr>
          <w:p w14:paraId="4A1EE183" w14:textId="77777777" w:rsidR="00CB3572" w:rsidRDefault="00CB3572" w:rsidP="004A0EA7">
            <w:r>
              <w:t>Cost</w:t>
            </w:r>
          </w:p>
        </w:tc>
        <w:tc>
          <w:tcPr>
            <w:tcW w:w="1476" w:type="dxa"/>
          </w:tcPr>
          <w:p w14:paraId="1DBE3463" w14:textId="77777777" w:rsidR="00CB3572" w:rsidRDefault="00CB3572" w:rsidP="004A0EA7">
            <w:r>
              <w:t>Schedule</w:t>
            </w:r>
          </w:p>
        </w:tc>
        <w:tc>
          <w:tcPr>
            <w:tcW w:w="1476" w:type="dxa"/>
          </w:tcPr>
          <w:p w14:paraId="24EC6C9E" w14:textId="77777777" w:rsidR="00CB3572" w:rsidRDefault="00CB3572" w:rsidP="004A0EA7">
            <w:r>
              <w:t>Contingency</w:t>
            </w:r>
          </w:p>
        </w:tc>
      </w:tr>
      <w:tr w:rsidR="00CB3572" w14:paraId="58FEE83B" w14:textId="77777777" w:rsidTr="004A0EA7">
        <w:tc>
          <w:tcPr>
            <w:tcW w:w="1476" w:type="dxa"/>
          </w:tcPr>
          <w:p w14:paraId="7F8B5ACC" w14:textId="63D38028" w:rsidR="00CB3572" w:rsidRDefault="00CB3572" w:rsidP="004A0EA7">
            <w:r>
              <w:t>Personnel</w:t>
            </w:r>
            <w:r w:rsidR="00F77B3F">
              <w:t xml:space="preserve"> for construction</w:t>
            </w:r>
          </w:p>
        </w:tc>
        <w:tc>
          <w:tcPr>
            <w:tcW w:w="1476" w:type="dxa"/>
          </w:tcPr>
          <w:p w14:paraId="20273494" w14:textId="77777777" w:rsidR="00CB3572" w:rsidRDefault="00CB3572" w:rsidP="004A0EA7">
            <w:pPr>
              <w:jc w:val="right"/>
            </w:pPr>
            <w:r>
              <w:t>2</w:t>
            </w:r>
          </w:p>
        </w:tc>
        <w:tc>
          <w:tcPr>
            <w:tcW w:w="1476" w:type="dxa"/>
          </w:tcPr>
          <w:p w14:paraId="1B18DDF8" w14:textId="08015BB0" w:rsidR="00CB3572" w:rsidRDefault="00CB3572" w:rsidP="00CB3572">
            <w:pPr>
              <w:tabs>
                <w:tab w:val="left" w:pos="1129"/>
                <w:tab w:val="right" w:pos="1260"/>
              </w:tabs>
            </w:pPr>
            <w:r>
              <w:tab/>
              <w:t>0</w:t>
            </w:r>
          </w:p>
        </w:tc>
        <w:tc>
          <w:tcPr>
            <w:tcW w:w="1476" w:type="dxa"/>
          </w:tcPr>
          <w:p w14:paraId="24084285" w14:textId="77777777" w:rsidR="00CB3572" w:rsidRDefault="00CB3572" w:rsidP="004A0EA7">
            <w:pPr>
              <w:jc w:val="right"/>
            </w:pPr>
            <w:r>
              <w:t>4</w:t>
            </w:r>
          </w:p>
        </w:tc>
        <w:tc>
          <w:tcPr>
            <w:tcW w:w="1476" w:type="dxa"/>
          </w:tcPr>
          <w:p w14:paraId="6BECB078" w14:textId="77777777" w:rsidR="00CB3572" w:rsidRDefault="00CB3572" w:rsidP="004A0EA7">
            <w:pPr>
              <w:jc w:val="right"/>
            </w:pPr>
            <w:r>
              <w:t>6</w:t>
            </w:r>
          </w:p>
        </w:tc>
        <w:tc>
          <w:tcPr>
            <w:tcW w:w="1476" w:type="dxa"/>
          </w:tcPr>
          <w:p w14:paraId="723AE8B9" w14:textId="7396ABB8" w:rsidR="00CB3572" w:rsidRDefault="00CB3572" w:rsidP="004A0EA7">
            <w:pPr>
              <w:jc w:val="right"/>
            </w:pPr>
            <w:r>
              <w:t>14%</w:t>
            </w:r>
          </w:p>
        </w:tc>
      </w:tr>
    </w:tbl>
    <w:p w14:paraId="613148E8" w14:textId="33554FAF" w:rsidR="00112482" w:rsidRDefault="00112482">
      <w:pPr>
        <w:jc w:val="center"/>
        <w:rPr>
          <w:u w:val="single"/>
        </w:rPr>
      </w:pPr>
    </w:p>
    <w:p w14:paraId="3AC6CDD7" w14:textId="77777777" w:rsidR="00112482" w:rsidRDefault="00112482">
      <w:pPr>
        <w:rPr>
          <w:u w:val="single"/>
        </w:rPr>
      </w:pPr>
    </w:p>
    <w:p w14:paraId="77D3779C" w14:textId="77777777" w:rsidR="00112482" w:rsidRDefault="00112482">
      <w:pPr>
        <w:rPr>
          <w:u w:val="double"/>
        </w:rPr>
      </w:pPr>
      <w:r>
        <w:rPr>
          <w:u w:val="double"/>
        </w:rPr>
        <w:tab/>
      </w:r>
      <w:r>
        <w:rPr>
          <w:u w:val="double"/>
        </w:rPr>
        <w:tab/>
      </w:r>
      <w:r>
        <w:rPr>
          <w:u w:val="double"/>
        </w:rPr>
        <w:tab/>
      </w:r>
      <w:r>
        <w:rPr>
          <w:u w:val="double"/>
        </w:rPr>
        <w:tab/>
      </w:r>
      <w:r>
        <w:rPr>
          <w:u w:val="double"/>
        </w:rPr>
        <w:tab/>
      </w:r>
      <w:r>
        <w:rPr>
          <w:u w:val="double"/>
        </w:rPr>
        <w:tab/>
      </w:r>
      <w:r>
        <w:rPr>
          <w:u w:val="double"/>
        </w:rPr>
        <w:tab/>
      </w:r>
      <w:r>
        <w:rPr>
          <w:u w:val="double"/>
        </w:rPr>
        <w:tab/>
      </w:r>
      <w:r>
        <w:rPr>
          <w:u w:val="double"/>
        </w:rPr>
        <w:tab/>
      </w:r>
      <w:r>
        <w:rPr>
          <w:u w:val="double"/>
        </w:rPr>
        <w:tab/>
      </w:r>
      <w:r>
        <w:rPr>
          <w:u w:val="double"/>
        </w:rPr>
        <w:tab/>
      </w:r>
      <w:r>
        <w:rPr>
          <w:u w:val="double"/>
        </w:rPr>
        <w:tab/>
      </w:r>
    </w:p>
    <w:p w14:paraId="06A098F5" w14:textId="77777777" w:rsidR="00112482" w:rsidRDefault="00112482">
      <w:pPr>
        <w:jc w:val="center"/>
        <w:rPr>
          <w:u w:val="single"/>
        </w:rPr>
      </w:pPr>
    </w:p>
    <w:p w14:paraId="5A189717" w14:textId="77777777" w:rsidR="00741D1D" w:rsidRDefault="00BE3161" w:rsidP="00BE3161">
      <w:pPr>
        <w:tabs>
          <w:tab w:val="left" w:pos="720"/>
        </w:tabs>
        <w:ind w:left="720" w:hanging="720"/>
        <w:jc w:val="center"/>
        <w:rPr>
          <w:u w:val="single"/>
        </w:rPr>
      </w:pPr>
      <w:r>
        <w:rPr>
          <w:u w:val="single"/>
        </w:rPr>
        <w:t>IV.</w:t>
      </w:r>
      <w:r>
        <w:rPr>
          <w:u w:val="single"/>
        </w:rPr>
        <w:tab/>
        <w:t>Time Estimate</w:t>
      </w:r>
      <w:r w:rsidR="00A8781E">
        <w:rPr>
          <w:u w:val="single"/>
        </w:rPr>
        <w:t>s and contingency on time</w:t>
      </w:r>
    </w:p>
    <w:p w14:paraId="7C692E02" w14:textId="77777777" w:rsidR="00741D1D" w:rsidRDefault="00741D1D" w:rsidP="00BE3161">
      <w:pPr>
        <w:tabs>
          <w:tab w:val="left" w:pos="720"/>
        </w:tabs>
        <w:ind w:left="720" w:hanging="720"/>
        <w:jc w:val="center"/>
        <w:rPr>
          <w:u w:val="single"/>
        </w:rPr>
      </w:pPr>
    </w:p>
    <w:p w14:paraId="6A170F11" w14:textId="77777777" w:rsidR="00741D1D" w:rsidRDefault="00741D1D" w:rsidP="00741D1D">
      <w:pPr>
        <w:tabs>
          <w:tab w:val="left" w:pos="720"/>
        </w:tabs>
        <w:ind w:left="720" w:hanging="720"/>
      </w:pPr>
      <w:r>
        <w:t>Time estimate is (optimistic+pessimistic+4*mos</w:t>
      </w:r>
      <w:r w:rsidR="00095B37">
        <w:t>t-</w:t>
      </w:r>
      <w:r>
        <w:t xml:space="preserve">likely)/6.  </w:t>
      </w:r>
    </w:p>
    <w:p w14:paraId="11A9E143" w14:textId="77777777" w:rsidR="00C906FC" w:rsidRDefault="00741D1D" w:rsidP="00741D1D">
      <w:pPr>
        <w:tabs>
          <w:tab w:val="left" w:pos="720"/>
        </w:tabs>
        <w:ind w:left="720" w:hanging="720"/>
      </w:pPr>
      <w:r>
        <w:t>Sigma is (pessimistic-optimistic)/6.</w:t>
      </w:r>
    </w:p>
    <w:p w14:paraId="3D3371E6" w14:textId="77777777" w:rsidR="00C906FC" w:rsidRDefault="00C906FC" w:rsidP="00741D1D">
      <w:pPr>
        <w:tabs>
          <w:tab w:val="left" w:pos="720"/>
        </w:tabs>
        <w:ind w:left="720" w:hanging="720"/>
      </w:pPr>
      <w:r>
        <w:t>Be sure to indicate if work days or calendar days.</w:t>
      </w:r>
    </w:p>
    <w:p w14:paraId="79A564FC" w14:textId="77777777" w:rsidR="00C906FC" w:rsidRDefault="00C906FC" w:rsidP="00741D1D">
      <w:pPr>
        <w:tabs>
          <w:tab w:val="left" w:pos="720"/>
        </w:tabs>
        <w:ind w:left="720" w:hanging="720"/>
      </w:pPr>
    </w:p>
    <w:p w14:paraId="59200EFB" w14:textId="77777777" w:rsidR="00C3327E" w:rsidRPr="00741D1D" w:rsidRDefault="004326E8" w:rsidP="00741D1D">
      <w:pPr>
        <w:tabs>
          <w:tab w:val="left" w:pos="720"/>
        </w:tabs>
        <w:ind w:left="720" w:hanging="720"/>
      </w:pPr>
      <w:r>
        <w:rPr>
          <w:noProof/>
        </w:rPr>
        <w:pict w14:anchorId="58E5D87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05pt;margin-top:2.55pt;width:432.9pt;height:53pt;z-index:251659264;mso-wrap-edited:f;mso-position-horizontal:absolute;mso-position-vertical:absolute" wrapcoords="0 0 21600 0 21600 21600 0 21600 0 0">
            <v:imagedata r:id="rId5" o:title=""/>
            <w10:wrap type="tight"/>
          </v:shape>
          <o:OLEObject Type="Embed" ProgID="Excel.Sheet.12" ShapeID="_x0000_s1027" DrawAspect="Content" ObjectID="_1385864047" r:id="rId6"/>
        </w:pict>
      </w:r>
    </w:p>
    <w:p w14:paraId="3DEBA1B4" w14:textId="77777777" w:rsidR="00C3327E" w:rsidRDefault="00C3327E" w:rsidP="00BE3161">
      <w:pPr>
        <w:tabs>
          <w:tab w:val="left" w:pos="720"/>
        </w:tabs>
        <w:ind w:left="720" w:hanging="720"/>
        <w:jc w:val="center"/>
        <w:rPr>
          <w:u w:val="single"/>
        </w:rPr>
      </w:pPr>
    </w:p>
    <w:p w14:paraId="39A3BA12" w14:textId="5926251F" w:rsidR="008C6D42" w:rsidRDefault="00AF5176" w:rsidP="008C6D42">
      <w:pPr>
        <w:rPr>
          <w:u w:val="single"/>
        </w:rPr>
      </w:pPr>
      <w:proofErr w:type="gramStart"/>
      <w:r>
        <w:rPr>
          <w:u w:val="single"/>
        </w:rPr>
        <w:t>Comments:</w:t>
      </w:r>
      <w:r w:rsidR="008C6D42" w:rsidRPr="008C6D42">
        <w:rPr>
          <w:highlight w:val="yellow"/>
          <w:u w:val="single"/>
        </w:rPr>
        <w:t xml:space="preserve"> </w:t>
      </w:r>
      <w:r w:rsidR="008C6D42" w:rsidRPr="005E11DC">
        <w:rPr>
          <w:highlight w:val="yellow"/>
          <w:u w:val="single"/>
        </w:rPr>
        <w:t>No estimate yet.</w:t>
      </w:r>
      <w:proofErr w:type="gramEnd"/>
    </w:p>
    <w:p w14:paraId="13A74D29" w14:textId="77777777" w:rsidR="00BE3161" w:rsidRDefault="00BE3161" w:rsidP="00FB6F98">
      <w:pPr>
        <w:rPr>
          <w:u w:val="single"/>
        </w:rPr>
      </w:pPr>
    </w:p>
    <w:p w14:paraId="1447DE69" w14:textId="77777777" w:rsidR="00112482" w:rsidRDefault="00112482">
      <w:pPr>
        <w:jc w:val="center"/>
        <w:rPr>
          <w:u w:val="single"/>
        </w:rPr>
      </w:pPr>
    </w:p>
    <w:p w14:paraId="242C24AF" w14:textId="77777777" w:rsidR="00A142AF" w:rsidRDefault="00A142AF">
      <w:r>
        <w:br w:type="page"/>
      </w:r>
    </w:p>
    <w:p w14:paraId="4C880C70" w14:textId="77777777" w:rsidR="00112482" w:rsidRDefault="00A142AF" w:rsidP="00A142AF">
      <w:pPr>
        <w:jc w:val="center"/>
      </w:pPr>
      <w:r>
        <w:rPr>
          <w:noProof/>
        </w:rPr>
        <w:lastRenderedPageBreak/>
        <w:drawing>
          <wp:inline distT="0" distB="0" distL="0" distR="0" wp14:anchorId="04AE07AE" wp14:editId="23694567">
            <wp:extent cx="5486400" cy="6061283"/>
            <wp:effectExtent l="2540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5486400" cy="6061283"/>
                    </a:xfrm>
                    <a:prstGeom prst="rect">
                      <a:avLst/>
                    </a:prstGeom>
                    <a:noFill/>
                    <a:ln w="9525">
                      <a:noFill/>
                      <a:miter lim="800000"/>
                      <a:headEnd/>
                      <a:tailEnd/>
                    </a:ln>
                  </pic:spPr>
                </pic:pic>
              </a:graphicData>
            </a:graphic>
          </wp:inline>
        </w:drawing>
      </w:r>
    </w:p>
    <w:sectPr w:rsidR="00112482" w:rsidSect="00EF2009">
      <w:type w:val="continuous"/>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ew York">
    <w:panose1 w:val="00000000000000000000"/>
    <w:charset w:val="4D"/>
    <w:family w:val="roman"/>
    <w:notTrueType/>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roman"/>
    <w:notTrueType/>
    <w:pitch w:val="default"/>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Symbol">
    <w:panose1 w:val="020005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1"/>
  <w:embedSystemFonts/>
  <w:bordersDoNotSurroundHeader/>
  <w:bordersDoNotSurroundFooter/>
  <w:proofState w:spelling="clean" w:grammar="clean"/>
  <w:doNotTrackMoves/>
  <w:defaultTabStop w:val="720"/>
  <w:hyphenationZone w:val="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compat>
    <w:compatSetting w:name="compatibilityMode" w:uri="http://schemas.microsoft.com/office/word" w:val="12"/>
  </w:compat>
  <w:rsids>
    <w:rsidRoot w:val="00C829E8"/>
    <w:rsid w:val="000217B6"/>
    <w:rsid w:val="00050603"/>
    <w:rsid w:val="000946D4"/>
    <w:rsid w:val="00095B37"/>
    <w:rsid w:val="000B2245"/>
    <w:rsid w:val="000C41E2"/>
    <w:rsid w:val="00104C1B"/>
    <w:rsid w:val="00112482"/>
    <w:rsid w:val="00112A94"/>
    <w:rsid w:val="0015726A"/>
    <w:rsid w:val="00184F25"/>
    <w:rsid w:val="00213F73"/>
    <w:rsid w:val="00217380"/>
    <w:rsid w:val="00255D37"/>
    <w:rsid w:val="00266469"/>
    <w:rsid w:val="002E5C4E"/>
    <w:rsid w:val="002F4450"/>
    <w:rsid w:val="0034623C"/>
    <w:rsid w:val="00370202"/>
    <w:rsid w:val="003A74BC"/>
    <w:rsid w:val="003C5DFC"/>
    <w:rsid w:val="004326E8"/>
    <w:rsid w:val="004853D1"/>
    <w:rsid w:val="00575063"/>
    <w:rsid w:val="00583C01"/>
    <w:rsid w:val="00583F78"/>
    <w:rsid w:val="005879FE"/>
    <w:rsid w:val="00716893"/>
    <w:rsid w:val="00741D1D"/>
    <w:rsid w:val="007D3A16"/>
    <w:rsid w:val="00861CAD"/>
    <w:rsid w:val="008B132C"/>
    <w:rsid w:val="008C6D42"/>
    <w:rsid w:val="009214B7"/>
    <w:rsid w:val="009266D9"/>
    <w:rsid w:val="009D22C9"/>
    <w:rsid w:val="009D3F0A"/>
    <w:rsid w:val="009E1E0D"/>
    <w:rsid w:val="009F12DC"/>
    <w:rsid w:val="009F589D"/>
    <w:rsid w:val="00A142AF"/>
    <w:rsid w:val="00A7572E"/>
    <w:rsid w:val="00A8781E"/>
    <w:rsid w:val="00AC079C"/>
    <w:rsid w:val="00AF47FA"/>
    <w:rsid w:val="00AF5176"/>
    <w:rsid w:val="00B23159"/>
    <w:rsid w:val="00B6299B"/>
    <w:rsid w:val="00B7687D"/>
    <w:rsid w:val="00BD00E5"/>
    <w:rsid w:val="00BE3161"/>
    <w:rsid w:val="00C3327E"/>
    <w:rsid w:val="00C461C8"/>
    <w:rsid w:val="00C503D2"/>
    <w:rsid w:val="00C800AA"/>
    <w:rsid w:val="00C829E8"/>
    <w:rsid w:val="00C906FC"/>
    <w:rsid w:val="00CB3572"/>
    <w:rsid w:val="00CD001D"/>
    <w:rsid w:val="00CF27F0"/>
    <w:rsid w:val="00D0638C"/>
    <w:rsid w:val="00D760A0"/>
    <w:rsid w:val="00E60ADF"/>
    <w:rsid w:val="00E85704"/>
    <w:rsid w:val="00EE1704"/>
    <w:rsid w:val="00EF2009"/>
    <w:rsid w:val="00F01496"/>
    <w:rsid w:val="00F52D2E"/>
    <w:rsid w:val="00F62157"/>
    <w:rsid w:val="00F77B3F"/>
    <w:rsid w:val="00F867CA"/>
    <w:rsid w:val="00FB549A"/>
    <w:rsid w:val="00FB5D2B"/>
    <w:rsid w:val="00FB6F98"/>
    <w:rsid w:val="00FC39BB"/>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1"/>
    <o:shapelayout v:ext="edit">
      <o:idmap v:ext="edit" data="1"/>
    </o:shapelayout>
  </w:shapeDefaults>
  <w:decimalSymbol w:val="."/>
  <w:listSeparator w:val=","/>
  <w14:docId w14:val="33BE69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EF2009"/>
    <w:rPr>
      <w:rFonts w:ascii="Times" w:hAnsi="Tim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142A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rsid w:val="00FB5D2B"/>
    <w:rPr>
      <w:rFonts w:ascii="Lucida Grande" w:hAnsi="Lucida Grande" w:cs="Lucida Grande"/>
      <w:sz w:val="18"/>
      <w:szCs w:val="18"/>
    </w:rPr>
  </w:style>
  <w:style w:type="character" w:customStyle="1" w:styleId="BalloonTextChar">
    <w:name w:val="Balloon Text Char"/>
    <w:basedOn w:val="DefaultParagraphFont"/>
    <w:link w:val="BalloonText"/>
    <w:rsid w:val="00FB5D2B"/>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907713">
      <w:bodyDiv w:val="1"/>
      <w:marLeft w:val="0"/>
      <w:marRight w:val="0"/>
      <w:marTop w:val="0"/>
      <w:marBottom w:val="0"/>
      <w:divBdr>
        <w:top w:val="none" w:sz="0" w:space="0" w:color="auto"/>
        <w:left w:val="none" w:sz="0" w:space="0" w:color="auto"/>
        <w:bottom w:val="none" w:sz="0" w:space="0" w:color="auto"/>
        <w:right w:val="none" w:sz="0" w:space="0" w:color="auto"/>
      </w:divBdr>
    </w:div>
    <w:div w:id="212888715">
      <w:bodyDiv w:val="1"/>
      <w:marLeft w:val="0"/>
      <w:marRight w:val="0"/>
      <w:marTop w:val="0"/>
      <w:marBottom w:val="0"/>
      <w:divBdr>
        <w:top w:val="none" w:sz="0" w:space="0" w:color="auto"/>
        <w:left w:val="none" w:sz="0" w:space="0" w:color="auto"/>
        <w:bottom w:val="none" w:sz="0" w:space="0" w:color="auto"/>
        <w:right w:val="none" w:sz="0" w:space="0" w:color="auto"/>
      </w:divBdr>
    </w:div>
    <w:div w:id="213779239">
      <w:bodyDiv w:val="1"/>
      <w:marLeft w:val="0"/>
      <w:marRight w:val="0"/>
      <w:marTop w:val="0"/>
      <w:marBottom w:val="0"/>
      <w:divBdr>
        <w:top w:val="none" w:sz="0" w:space="0" w:color="auto"/>
        <w:left w:val="none" w:sz="0" w:space="0" w:color="auto"/>
        <w:bottom w:val="none" w:sz="0" w:space="0" w:color="auto"/>
        <w:right w:val="none" w:sz="0" w:space="0" w:color="auto"/>
      </w:divBdr>
      <w:divsChild>
        <w:div w:id="193035817">
          <w:marLeft w:val="0"/>
          <w:marRight w:val="0"/>
          <w:marTop w:val="0"/>
          <w:marBottom w:val="0"/>
          <w:divBdr>
            <w:top w:val="none" w:sz="0" w:space="0" w:color="auto"/>
            <w:left w:val="none" w:sz="0" w:space="0" w:color="auto"/>
            <w:bottom w:val="none" w:sz="0" w:space="0" w:color="auto"/>
            <w:right w:val="none" w:sz="0" w:space="0" w:color="auto"/>
          </w:divBdr>
          <w:divsChild>
            <w:div w:id="1524705526">
              <w:marLeft w:val="0"/>
              <w:marRight w:val="0"/>
              <w:marTop w:val="0"/>
              <w:marBottom w:val="0"/>
              <w:divBdr>
                <w:top w:val="none" w:sz="0" w:space="0" w:color="auto"/>
                <w:left w:val="none" w:sz="0" w:space="0" w:color="auto"/>
                <w:bottom w:val="none" w:sz="0" w:space="0" w:color="auto"/>
                <w:right w:val="none" w:sz="0" w:space="0" w:color="auto"/>
              </w:divBdr>
              <w:divsChild>
                <w:div w:id="1325549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3312852">
      <w:bodyDiv w:val="1"/>
      <w:marLeft w:val="0"/>
      <w:marRight w:val="0"/>
      <w:marTop w:val="0"/>
      <w:marBottom w:val="0"/>
      <w:divBdr>
        <w:top w:val="none" w:sz="0" w:space="0" w:color="auto"/>
        <w:left w:val="none" w:sz="0" w:space="0" w:color="auto"/>
        <w:bottom w:val="none" w:sz="0" w:space="0" w:color="auto"/>
        <w:right w:val="none" w:sz="0" w:space="0" w:color="auto"/>
      </w:divBdr>
    </w:div>
    <w:div w:id="1156843646">
      <w:bodyDiv w:val="1"/>
      <w:marLeft w:val="0"/>
      <w:marRight w:val="0"/>
      <w:marTop w:val="0"/>
      <w:marBottom w:val="0"/>
      <w:divBdr>
        <w:top w:val="none" w:sz="0" w:space="0" w:color="auto"/>
        <w:left w:val="none" w:sz="0" w:space="0" w:color="auto"/>
        <w:bottom w:val="none" w:sz="0" w:space="0" w:color="auto"/>
        <w:right w:val="none" w:sz="0" w:space="0" w:color="auto"/>
      </w:divBdr>
    </w:div>
    <w:div w:id="1453862516">
      <w:bodyDiv w:val="1"/>
      <w:marLeft w:val="0"/>
      <w:marRight w:val="0"/>
      <w:marTop w:val="0"/>
      <w:marBottom w:val="0"/>
      <w:divBdr>
        <w:top w:val="none" w:sz="0" w:space="0" w:color="auto"/>
        <w:left w:val="none" w:sz="0" w:space="0" w:color="auto"/>
        <w:bottom w:val="none" w:sz="0" w:space="0" w:color="auto"/>
        <w:right w:val="none" w:sz="0" w:space="0" w:color="auto"/>
      </w:divBdr>
    </w:div>
    <w:div w:id="1625310477">
      <w:bodyDiv w:val="1"/>
      <w:marLeft w:val="0"/>
      <w:marRight w:val="0"/>
      <w:marTop w:val="0"/>
      <w:marBottom w:val="0"/>
      <w:divBdr>
        <w:top w:val="none" w:sz="0" w:space="0" w:color="auto"/>
        <w:left w:val="none" w:sz="0" w:space="0" w:color="auto"/>
        <w:bottom w:val="none" w:sz="0" w:space="0" w:color="auto"/>
        <w:right w:val="none" w:sz="0" w:space="0" w:color="auto"/>
      </w:divBdr>
      <w:divsChild>
        <w:div w:id="1272401404">
          <w:marLeft w:val="0"/>
          <w:marRight w:val="0"/>
          <w:marTop w:val="0"/>
          <w:marBottom w:val="0"/>
          <w:divBdr>
            <w:top w:val="none" w:sz="0" w:space="0" w:color="auto"/>
            <w:left w:val="none" w:sz="0" w:space="0" w:color="auto"/>
            <w:bottom w:val="none" w:sz="0" w:space="0" w:color="auto"/>
            <w:right w:val="none" w:sz="0" w:space="0" w:color="auto"/>
          </w:divBdr>
          <w:divsChild>
            <w:div w:id="506141009">
              <w:marLeft w:val="0"/>
              <w:marRight w:val="0"/>
              <w:marTop w:val="0"/>
              <w:marBottom w:val="0"/>
              <w:divBdr>
                <w:top w:val="none" w:sz="0" w:space="0" w:color="auto"/>
                <w:left w:val="none" w:sz="0" w:space="0" w:color="auto"/>
                <w:bottom w:val="none" w:sz="0" w:space="0" w:color="auto"/>
                <w:right w:val="none" w:sz="0" w:space="0" w:color="auto"/>
              </w:divBdr>
              <w:divsChild>
                <w:div w:id="683631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6446651">
      <w:bodyDiv w:val="1"/>
      <w:marLeft w:val="0"/>
      <w:marRight w:val="0"/>
      <w:marTop w:val="0"/>
      <w:marBottom w:val="0"/>
      <w:divBdr>
        <w:top w:val="none" w:sz="0" w:space="0" w:color="auto"/>
        <w:left w:val="none" w:sz="0" w:space="0" w:color="auto"/>
        <w:bottom w:val="none" w:sz="0" w:space="0" w:color="auto"/>
        <w:right w:val="none" w:sz="0" w:space="0" w:color="auto"/>
      </w:divBdr>
    </w:div>
    <w:div w:id="2055688198">
      <w:bodyDiv w:val="1"/>
      <w:marLeft w:val="0"/>
      <w:marRight w:val="0"/>
      <w:marTop w:val="0"/>
      <w:marBottom w:val="0"/>
      <w:divBdr>
        <w:top w:val="none" w:sz="0" w:space="0" w:color="auto"/>
        <w:left w:val="none" w:sz="0" w:space="0" w:color="auto"/>
        <w:bottom w:val="none" w:sz="0" w:space="0" w:color="auto"/>
        <w:right w:val="none" w:sz="0" w:space="0" w:color="auto"/>
      </w:divBdr>
    </w:div>
    <w:div w:id="2106146462">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package" Target="embeddings/Microsoft_Excel_Sheet1.xlsx"/><Relationship Id="rId7" Type="http://schemas.openxmlformats.org/officeDocument/2006/relationships/image" Target="media/image2.pn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4</Pages>
  <Words>569</Words>
  <Characters>3246</Characters>
  <Application>Microsoft Macintosh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NuMI_BOE_Form</vt:lpstr>
    </vt:vector>
  </TitlesOfParts>
  <Company>FNAL</Company>
  <LinksUpToDate>false</LinksUpToDate>
  <CharactersWithSpaces>3808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NuMI_BOE_Form</dc:title>
  <dc:subject/>
  <dc:creator>Accelerator Division</dc:creator>
  <cp:keywords/>
  <cp:lastModifiedBy>Steffen Strauch</cp:lastModifiedBy>
  <cp:revision>16</cp:revision>
  <cp:lastPrinted>2006-11-25T01:09:00Z</cp:lastPrinted>
  <dcterms:created xsi:type="dcterms:W3CDTF">2014-01-10T19:04:00Z</dcterms:created>
  <dcterms:modified xsi:type="dcterms:W3CDTF">2015-12-19T10:27:00Z</dcterms:modified>
</cp:coreProperties>
</file>